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50F1278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4329C2">
        <w:rPr>
          <w:rFonts w:ascii="Times New Roman" w:eastAsia="MS Mincho" w:hAnsi="Times New Roman"/>
          <w:b/>
          <w:sz w:val="28"/>
          <w:szCs w:val="28"/>
        </w:rPr>
        <w:t>9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4E85A87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789C382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1C229A4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7685E138" w14:textId="3206CD2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D27DA8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091E277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64DCDF7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0875ACE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2576D72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</w:t>
      </w:r>
      <w:r w:rsidR="004329C2">
        <w:rPr>
          <w:rFonts w:ascii="Times New Roman" w:eastAsia="MS Mincho" w:hAnsi="Times New Roman"/>
          <w:sz w:val="28"/>
          <w:szCs w:val="28"/>
        </w:rPr>
        <w:t>50703022044 от 03.07.2025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4329C2">
        <w:rPr>
          <w:rFonts w:ascii="Times New Roman" w:eastAsia="MS Mincho" w:hAnsi="Times New Roman"/>
          <w:sz w:val="28"/>
          <w:szCs w:val="28"/>
        </w:rPr>
        <w:t>75</w:t>
      </w:r>
      <w:r w:rsidR="00B203C6">
        <w:rPr>
          <w:rFonts w:ascii="Times New Roman" w:eastAsia="MS Mincho" w:hAnsi="Times New Roman"/>
          <w:sz w:val="28"/>
          <w:szCs w:val="28"/>
        </w:rPr>
        <w:t>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5B281C8D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2CDC27F6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14F5E0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37C2FF2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4EC241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0D51BB31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138701B3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3D58DA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14C96CCC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0E5F9B10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04CC7D32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33EBAC79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73447878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24CE7D9F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20B5F12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7EF0A447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70DB2C74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2345574D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3632F3E0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5BC2961D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5305CA26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2028F810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5EC132A3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34C0733A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56115402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71D0A5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6C7176C0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57E5A2E7" w14:textId="2C001285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D27DA8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D27DA8" w14:paraId="726280DA" w14:textId="7D689E89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D27DA8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0E0C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5E7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DA8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